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</w:t>
      </w:r>
    </w:p>
    <w:p>
      <w:pPr>
        <w:tabs>
          <w:tab w:val="left" w:pos="540"/>
        </w:tabs>
        <w:spacing w:line="580" w:lineRule="exact"/>
        <w:ind w:left="-178" w:leftChars="-85" w:right="-334" w:rightChars="-159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附件1</w:t>
      </w:r>
    </w:p>
    <w:p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pacing w:val="-4"/>
          <w:sz w:val="44"/>
          <w:szCs w:val="44"/>
        </w:rPr>
        <w:t>安徽省法学会2019年课题申报指南</w:t>
      </w:r>
    </w:p>
    <w:p>
      <w:pPr>
        <w:spacing w:line="520" w:lineRule="exact"/>
        <w:rPr>
          <w:rFonts w:ascii="黑体" w:eastAsia="黑体"/>
          <w:sz w:val="28"/>
          <w:szCs w:val="28"/>
        </w:rPr>
      </w:pPr>
    </w:p>
    <w:p>
      <w:pPr>
        <w:spacing w:line="60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一、重点课题</w:t>
      </w:r>
    </w:p>
    <w:p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ascii="仿宋_GB2312" w:hAnsi="仿宋" w:eastAsia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" w:eastAsia="仿宋_GB2312"/>
          <w:color w:val="333333"/>
          <w:kern w:val="0"/>
          <w:sz w:val="32"/>
          <w:szCs w:val="32"/>
        </w:rPr>
        <w:t>1．提高党政干部法治思维与能力的实证研究</w:t>
      </w:r>
    </w:p>
    <w:p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ascii="仿宋_GB2312" w:hAnsi="仿宋" w:eastAsia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" w:eastAsia="仿宋_GB2312"/>
          <w:color w:val="333333"/>
          <w:kern w:val="0"/>
          <w:sz w:val="32"/>
          <w:szCs w:val="32"/>
        </w:rPr>
        <w:t>2．长三角地区公共法律服务机制问题研究</w:t>
      </w:r>
    </w:p>
    <w:p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ascii="仿宋_GB2312" w:hAnsi="仿宋" w:eastAsia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" w:eastAsia="仿宋_GB2312"/>
          <w:color w:val="333333"/>
          <w:kern w:val="0"/>
          <w:sz w:val="32"/>
          <w:szCs w:val="32"/>
        </w:rPr>
        <w:t>3．企业破产案件审理中的相关机制研究</w:t>
      </w:r>
    </w:p>
    <w:p>
      <w:pPr>
        <w:spacing w:line="60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二、一般课题</w:t>
      </w:r>
    </w:p>
    <w:p>
      <w:pPr>
        <w:pStyle w:val="7"/>
        <w:widowControl/>
        <w:numPr>
          <w:ilvl w:val="0"/>
          <w:numId w:val="1"/>
        </w:numPr>
        <w:shd w:val="clear" w:color="auto" w:fill="FFFFFF"/>
        <w:spacing w:line="600" w:lineRule="exact"/>
        <w:ind w:firstLineChars="0"/>
        <w:jc w:val="left"/>
        <w:rPr>
          <w:rFonts w:ascii="仿宋_GB2312" w:hAnsi="仿宋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333333"/>
          <w:kern w:val="0"/>
          <w:sz w:val="32"/>
          <w:szCs w:val="32"/>
        </w:rPr>
        <w:t>新时代乡村治理的法律适用研究</w:t>
      </w:r>
    </w:p>
    <w:p>
      <w:pPr>
        <w:pStyle w:val="7"/>
        <w:widowControl/>
        <w:numPr>
          <w:ilvl w:val="0"/>
          <w:numId w:val="1"/>
        </w:numPr>
        <w:shd w:val="clear" w:color="auto" w:fill="FFFFFF"/>
        <w:spacing w:line="600" w:lineRule="exact"/>
        <w:ind w:firstLineChars="0"/>
        <w:jc w:val="left"/>
        <w:rPr>
          <w:rFonts w:ascii="仿宋_GB2312" w:hAnsi="仿宋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333333"/>
          <w:kern w:val="0"/>
          <w:sz w:val="32"/>
          <w:szCs w:val="32"/>
        </w:rPr>
        <w:t>农村集体经济发展的法律保障问题</w:t>
      </w:r>
    </w:p>
    <w:p>
      <w:pPr>
        <w:pStyle w:val="7"/>
        <w:widowControl/>
        <w:numPr>
          <w:ilvl w:val="0"/>
          <w:numId w:val="1"/>
        </w:numPr>
        <w:shd w:val="clear" w:color="auto" w:fill="FFFFFF"/>
        <w:spacing w:line="600" w:lineRule="exact"/>
        <w:ind w:firstLineChars="0"/>
        <w:jc w:val="left"/>
        <w:rPr>
          <w:rFonts w:ascii="仿宋_GB2312" w:hAnsi="仿宋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333333"/>
          <w:kern w:val="0"/>
          <w:sz w:val="32"/>
          <w:szCs w:val="32"/>
        </w:rPr>
        <w:t>企业刑民交叉法律风险研究</w:t>
      </w:r>
    </w:p>
    <w:p>
      <w:pPr>
        <w:pStyle w:val="7"/>
        <w:widowControl/>
        <w:numPr>
          <w:ilvl w:val="0"/>
          <w:numId w:val="1"/>
        </w:numPr>
        <w:shd w:val="clear" w:color="auto" w:fill="FFFFFF"/>
        <w:spacing w:line="600" w:lineRule="exact"/>
        <w:ind w:firstLineChars="0"/>
        <w:jc w:val="left"/>
        <w:rPr>
          <w:rFonts w:ascii="仿宋_GB2312" w:hAnsi="仿宋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333333"/>
          <w:kern w:val="0"/>
          <w:sz w:val="32"/>
          <w:szCs w:val="32"/>
        </w:rPr>
        <w:t>司法适用中大数据运用的法律问题</w:t>
      </w:r>
    </w:p>
    <w:p>
      <w:pPr>
        <w:pStyle w:val="7"/>
        <w:widowControl/>
        <w:numPr>
          <w:ilvl w:val="0"/>
          <w:numId w:val="1"/>
        </w:numPr>
        <w:shd w:val="clear" w:color="auto" w:fill="FFFFFF"/>
        <w:spacing w:line="600" w:lineRule="exact"/>
        <w:ind w:firstLineChars="0"/>
        <w:jc w:val="left"/>
        <w:rPr>
          <w:rFonts w:ascii="仿宋_GB2312" w:hAnsi="仿宋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333333"/>
          <w:kern w:val="0"/>
          <w:sz w:val="32"/>
          <w:szCs w:val="32"/>
        </w:rPr>
        <w:t>电信网络诈骗的治理研究</w:t>
      </w:r>
    </w:p>
    <w:p>
      <w:pPr>
        <w:pStyle w:val="7"/>
        <w:widowControl/>
        <w:numPr>
          <w:ilvl w:val="0"/>
          <w:numId w:val="1"/>
        </w:numPr>
        <w:shd w:val="clear" w:color="auto" w:fill="FFFFFF"/>
        <w:spacing w:line="600" w:lineRule="exact"/>
        <w:ind w:firstLineChars="0"/>
        <w:jc w:val="left"/>
        <w:rPr>
          <w:rFonts w:ascii="仿宋_GB2312" w:hAnsi="仿宋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333333"/>
          <w:kern w:val="0"/>
          <w:sz w:val="32"/>
          <w:szCs w:val="32"/>
        </w:rPr>
        <w:t>司法体制改革的配套制度研究</w:t>
      </w:r>
    </w:p>
    <w:p>
      <w:pPr>
        <w:pStyle w:val="7"/>
        <w:widowControl/>
        <w:numPr>
          <w:ilvl w:val="0"/>
          <w:numId w:val="1"/>
        </w:numPr>
        <w:shd w:val="clear" w:color="auto" w:fill="FFFFFF"/>
        <w:spacing w:line="600" w:lineRule="exact"/>
        <w:ind w:firstLineChars="0"/>
        <w:jc w:val="left"/>
        <w:rPr>
          <w:rFonts w:ascii="仿宋_GB2312" w:hAnsi="仿宋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333333"/>
          <w:kern w:val="0"/>
          <w:sz w:val="32"/>
          <w:szCs w:val="32"/>
        </w:rPr>
        <w:t>共享经济的法律规制问题</w:t>
      </w:r>
    </w:p>
    <w:p>
      <w:pPr>
        <w:pStyle w:val="7"/>
        <w:widowControl/>
        <w:numPr>
          <w:ilvl w:val="0"/>
          <w:numId w:val="1"/>
        </w:numPr>
        <w:shd w:val="clear" w:color="auto" w:fill="FFFFFF"/>
        <w:spacing w:line="600" w:lineRule="exact"/>
        <w:ind w:firstLineChars="0"/>
        <w:jc w:val="left"/>
        <w:rPr>
          <w:rFonts w:ascii="仿宋_GB2312" w:hAnsi="仿宋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333333"/>
          <w:kern w:val="0"/>
          <w:sz w:val="32"/>
          <w:szCs w:val="32"/>
        </w:rPr>
        <w:t>比例原则在公安执法工作中的适用问题</w:t>
      </w:r>
    </w:p>
    <w:p>
      <w:pPr>
        <w:pStyle w:val="7"/>
        <w:widowControl/>
        <w:numPr>
          <w:ilvl w:val="0"/>
          <w:numId w:val="1"/>
        </w:numPr>
        <w:shd w:val="clear" w:color="auto" w:fill="FFFFFF"/>
        <w:spacing w:line="600" w:lineRule="exact"/>
        <w:ind w:firstLineChars="0"/>
        <w:jc w:val="left"/>
        <w:rPr>
          <w:rFonts w:ascii="仿宋_GB2312" w:hAnsi="仿宋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333333"/>
          <w:kern w:val="0"/>
          <w:sz w:val="32"/>
          <w:szCs w:val="32"/>
        </w:rPr>
        <w:t>法治进程中党内法规建设研究</w:t>
      </w:r>
    </w:p>
    <w:p>
      <w:pPr>
        <w:spacing w:line="600" w:lineRule="exact"/>
        <w:ind w:firstLine="640" w:firstLineChars="200"/>
        <w:rPr>
          <w:rFonts w:ascii="黑体" w:hAnsi="仿宋" w:eastAsia="黑体" w:cs="仿宋_GB2312"/>
          <w:sz w:val="32"/>
          <w:szCs w:val="32"/>
        </w:rPr>
      </w:pPr>
      <w:r>
        <w:rPr>
          <w:rFonts w:hint="eastAsia" w:ascii="黑体" w:hAnsi="仿宋" w:eastAsia="黑体" w:cs="仿宋_GB2312"/>
          <w:sz w:val="32"/>
          <w:szCs w:val="32"/>
        </w:rPr>
        <w:t>三、委托课题（不招标）</w:t>
      </w:r>
    </w:p>
    <w:p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ascii="仿宋_GB2312" w:hAnsi="仿宋" w:eastAsia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" w:eastAsia="仿宋_GB2312"/>
          <w:color w:val="333333"/>
          <w:kern w:val="0"/>
          <w:sz w:val="32"/>
          <w:szCs w:val="32"/>
        </w:rPr>
        <w:t>1．</w:t>
      </w:r>
      <w:r>
        <w:rPr>
          <w:rFonts w:ascii="仿宋_GB2312" w:hAnsi="仿宋" w:eastAsia="仿宋_GB2312"/>
          <w:color w:val="333333"/>
          <w:kern w:val="0"/>
          <w:sz w:val="32"/>
          <w:szCs w:val="32"/>
        </w:rPr>
        <w:t>建设工程施工领域商事交易中表见代理</w:t>
      </w:r>
      <w:r>
        <w:rPr>
          <w:rFonts w:hint="eastAsia" w:ascii="仿宋_GB2312" w:hAnsi="仿宋" w:eastAsia="仿宋_GB2312"/>
          <w:color w:val="333333"/>
          <w:kern w:val="0"/>
          <w:sz w:val="32"/>
          <w:szCs w:val="32"/>
        </w:rPr>
        <w:t>研究</w:t>
      </w:r>
    </w:p>
    <w:p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ascii="仿宋_GB2312" w:hAnsi="仿宋" w:eastAsia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" w:eastAsia="仿宋_GB2312"/>
          <w:color w:val="333333"/>
          <w:kern w:val="0"/>
          <w:sz w:val="32"/>
          <w:szCs w:val="32"/>
        </w:rPr>
        <w:t>2．监狱行刑与社区矫正一体化机制研究</w:t>
      </w:r>
    </w:p>
    <w:p>
      <w:pPr>
        <w:spacing w:line="600" w:lineRule="exact"/>
        <w:ind w:firstLine="566" w:firstLineChars="177"/>
        <w:rPr>
          <w:rFonts w:ascii="黑体" w:hAnsi="仿宋" w:eastAsia="黑体" w:cs="仿宋_GB2312"/>
          <w:sz w:val="32"/>
          <w:szCs w:val="32"/>
        </w:rPr>
      </w:pPr>
      <w:r>
        <w:rPr>
          <w:rFonts w:hint="eastAsia" w:ascii="黑体" w:hAnsi="仿宋" w:eastAsia="黑体" w:cs="仿宋_GB2312"/>
          <w:sz w:val="32"/>
          <w:szCs w:val="32"/>
        </w:rPr>
        <w:t>四、市县调研课题（限市县政法委、法学会牵头申报）</w:t>
      </w:r>
    </w:p>
    <w:p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ascii="仿宋_GB2312" w:hAnsi="仿宋" w:eastAsia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" w:eastAsia="仿宋_GB2312"/>
          <w:color w:val="333333"/>
          <w:kern w:val="0"/>
          <w:sz w:val="32"/>
          <w:szCs w:val="32"/>
        </w:rPr>
        <w:t>1.刑事案件涉案财物管理问题研究</w:t>
      </w:r>
    </w:p>
    <w:p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ascii="仿宋_GB2312" w:hAnsi="仿宋" w:eastAsia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" w:eastAsia="仿宋_GB2312"/>
          <w:color w:val="333333"/>
          <w:kern w:val="0"/>
          <w:sz w:val="32"/>
          <w:szCs w:val="32"/>
        </w:rPr>
        <w:t>2.社会领域重大风险防范化解机制研究</w:t>
      </w:r>
    </w:p>
    <w:p>
      <w:bookmarkStart w:id="0" w:name="_GoBack"/>
      <w:bookmarkEnd w:id="0"/>
    </w:p>
    <w:sectPr>
      <w:footerReference r:id="rId3" w:type="default"/>
      <w:pgSz w:w="11906" w:h="16838"/>
      <w:pgMar w:top="1474" w:right="1588" w:bottom="136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4"/>
        <w:szCs w:val="24"/>
      </w:rPr>
    </w:pPr>
    <w:r>
      <w:rPr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5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lgisLcBAABTAwAADgAAAGRycy9lMm9Eb2MueG1srVPBbtswDL0X6D8I&#10;ujd2AmTIjDhFi6LFgGEb0PYDFFmKBUiiICmx8wPbH+y0y+79rnxHKcVOi/ZW9CJTJPXI90gvL3uj&#10;yU74oMDWdDopKRGWQ6PspqaPD7cXC0pCZLZhGqyo6V4Eerk6P1t2rhIzaEE3whMEsaHqXE3bGF1V&#10;FIG3wrAwAScsBiV4wyJe/aZoPOsQ3ehiVpZfig584zxwEQJ6b45Busr4Ugoef0oZRCS6pthbzKfP&#10;5zqdxWrJqo1nrlV8aIN9oAvDlMWiJ6gbFhnZevUOyijuIYCMEw6mACkVF5kDspmWb9jct8yJzAXF&#10;Ce4kU/g8WP5j98sT1eDsKLHM4IgOf/8c/j0d/v+eJ3U6FypMuneYFvtr6FPm4A/oTKR76U36Ih2C&#10;cdR5f9JW9JHw9GgxWyxKDHGMjRfEKV6eOx/inQBDklFTj8PLmrLd9xCPqWNKqmbhVmmNflZpS7qa&#10;fp3P5vnBKYLg2mKNROLYbLJiv+4HBmto9kiswwWoqcUNpUR/s6hv2pXR8KOxHo2t82rTYo/TXC+4&#10;q23EbnKTqcIRdiiMk8s0hy1Lq/H6nrNe/oXVM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WCKwtwEAAFM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t>—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D38BD"/>
    <w:multiLevelType w:val="multilevel"/>
    <w:tmpl w:val="1E8D38BD"/>
    <w:lvl w:ilvl="0" w:tentative="0">
      <w:start w:val="1"/>
      <w:numFmt w:val="decimal"/>
      <w:lvlText w:val="%1."/>
      <w:lvlJc w:val="left"/>
      <w:pPr>
        <w:ind w:left="966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46" w:hanging="420"/>
      </w:pPr>
    </w:lvl>
    <w:lvl w:ilvl="2" w:tentative="0">
      <w:start w:val="1"/>
      <w:numFmt w:val="lowerRoman"/>
      <w:lvlText w:val="%3."/>
      <w:lvlJc w:val="right"/>
      <w:pPr>
        <w:ind w:left="1866" w:hanging="420"/>
      </w:pPr>
    </w:lvl>
    <w:lvl w:ilvl="3" w:tentative="0">
      <w:start w:val="1"/>
      <w:numFmt w:val="decimal"/>
      <w:lvlText w:val="%4."/>
      <w:lvlJc w:val="left"/>
      <w:pPr>
        <w:ind w:left="2286" w:hanging="420"/>
      </w:pPr>
    </w:lvl>
    <w:lvl w:ilvl="4" w:tentative="0">
      <w:start w:val="1"/>
      <w:numFmt w:val="lowerLetter"/>
      <w:lvlText w:val="%5)"/>
      <w:lvlJc w:val="left"/>
      <w:pPr>
        <w:ind w:left="2706" w:hanging="420"/>
      </w:pPr>
    </w:lvl>
    <w:lvl w:ilvl="5" w:tentative="0">
      <w:start w:val="1"/>
      <w:numFmt w:val="lowerRoman"/>
      <w:lvlText w:val="%6."/>
      <w:lvlJc w:val="right"/>
      <w:pPr>
        <w:ind w:left="3126" w:hanging="420"/>
      </w:pPr>
    </w:lvl>
    <w:lvl w:ilvl="6" w:tentative="0">
      <w:start w:val="1"/>
      <w:numFmt w:val="decimal"/>
      <w:lvlText w:val="%7."/>
      <w:lvlJc w:val="left"/>
      <w:pPr>
        <w:ind w:left="3546" w:hanging="420"/>
      </w:pPr>
    </w:lvl>
    <w:lvl w:ilvl="7" w:tentative="0">
      <w:start w:val="1"/>
      <w:numFmt w:val="lowerLetter"/>
      <w:lvlText w:val="%8)"/>
      <w:lvlJc w:val="left"/>
      <w:pPr>
        <w:ind w:left="3966" w:hanging="420"/>
      </w:pPr>
    </w:lvl>
    <w:lvl w:ilvl="8" w:tentative="0">
      <w:start w:val="1"/>
      <w:numFmt w:val="lowerRoman"/>
      <w:lvlText w:val="%9."/>
      <w:lvlJc w:val="right"/>
      <w:pPr>
        <w:ind w:left="438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AB8"/>
    <w:rsid w:val="00197636"/>
    <w:rsid w:val="00855AB8"/>
    <w:rsid w:val="008E064B"/>
    <w:rsid w:val="008E65DC"/>
    <w:rsid w:val="009021BC"/>
    <w:rsid w:val="00A241D9"/>
    <w:rsid w:val="00AE1E9F"/>
    <w:rsid w:val="00C339F0"/>
    <w:rsid w:val="00D2238E"/>
    <w:rsid w:val="00DE5755"/>
    <w:rsid w:val="0C9326EF"/>
    <w:rsid w:val="6F1F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4"/>
    <w:link w:val="2"/>
    <w:qFormat/>
    <w:uiPriority w:val="0"/>
    <w:rPr>
      <w:rFonts w:ascii="Times New Roman" w:hAnsi="Times New Roman" w:eastAsia="宋体" w:cs="Times New Roman"/>
      <w:sz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8">
    <w:name w:val="页眉 Char"/>
    <w:basedOn w:val="4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6</Pages>
  <Words>273</Words>
  <Characters>1557</Characters>
  <Lines>12</Lines>
  <Paragraphs>3</Paragraphs>
  <TotalTime>5</TotalTime>
  <ScaleCrop>false</ScaleCrop>
  <LinksUpToDate>false</LinksUpToDate>
  <CharactersWithSpaces>1827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2019-03-01T02:50:00Z</dcterms:created>
  <dc:creator>User</dc:creator>
  <cp:lastModifiedBy>晨晨</cp:lastModifiedBy>
  <dcterms:modified xsi:type="dcterms:W3CDTF">2019-03-01T03:44:26Z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